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0" w:rsidRDefault="00124590" w:rsidP="0012459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90" w:rsidRDefault="00124590" w:rsidP="00124590"/>
                          <w:p w:rsidR="00124590" w:rsidRDefault="00124590" w:rsidP="00124590">
                            <w:r>
                              <w:t xml:space="preserve">           </w:t>
                            </w:r>
                          </w:p>
                          <w:p w:rsidR="00124590" w:rsidRDefault="00124590" w:rsidP="00124590"/>
                          <w:p w:rsidR="00124590" w:rsidRDefault="00124590" w:rsidP="00124590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124590" w:rsidRDefault="00124590" w:rsidP="00124590"/>
                    <w:p w:rsidR="00124590" w:rsidRDefault="00124590" w:rsidP="00124590">
                      <w:r>
                        <w:t xml:space="preserve">           </w:t>
                      </w:r>
                    </w:p>
                    <w:p w:rsidR="00124590" w:rsidRDefault="00124590" w:rsidP="00124590"/>
                    <w:p w:rsidR="00124590" w:rsidRDefault="00124590" w:rsidP="00124590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24590" w:rsidRDefault="00124590" w:rsidP="00124590">
      <w:pPr>
        <w:pBdr>
          <w:top w:val="thinThickSmallGap" w:sz="2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4590" w:rsidRDefault="00124590" w:rsidP="00124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518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518C">
        <w:rPr>
          <w:rFonts w:ascii="Times New Roman" w:hAnsi="Times New Roman" w:cs="Times New Roman"/>
          <w:sz w:val="28"/>
          <w:szCs w:val="28"/>
        </w:rPr>
        <w:t xml:space="preserve">2.2020 г.     № </w:t>
      </w:r>
      <w:r w:rsidR="00940332">
        <w:rPr>
          <w:rFonts w:ascii="Times New Roman" w:hAnsi="Times New Roman" w:cs="Times New Roman"/>
          <w:sz w:val="28"/>
          <w:szCs w:val="28"/>
        </w:rPr>
        <w:t>2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C4518C">
        <w:rPr>
          <w:rFonts w:ascii="Times New Roman" w:hAnsi="Times New Roman" w:cs="Times New Roman"/>
          <w:sz w:val="28"/>
          <w:szCs w:val="28"/>
        </w:rPr>
        <w:t>9</w:t>
      </w:r>
      <w:r w:rsidR="007629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24590" w:rsidRDefault="00124590" w:rsidP="0012459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даты публичных слушаний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C451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 </w:t>
      </w:r>
      <w:r w:rsidR="00FC5D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C5D6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C5D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99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6299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24590" w:rsidRDefault="00124590" w:rsidP="00124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762998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590" w:rsidRDefault="00124590" w:rsidP="00124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90" w:rsidRDefault="00124590" w:rsidP="00124590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C4518C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на «</w:t>
      </w:r>
      <w:r w:rsidR="006B7195">
        <w:rPr>
          <w:sz w:val="28"/>
          <w:szCs w:val="28"/>
        </w:rPr>
        <w:t>30</w:t>
      </w:r>
      <w:r w:rsidR="00C4518C">
        <w:rPr>
          <w:sz w:val="28"/>
          <w:szCs w:val="28"/>
        </w:rPr>
        <w:t xml:space="preserve">» </w:t>
      </w:r>
      <w:r w:rsidR="006B7195">
        <w:rPr>
          <w:sz w:val="28"/>
          <w:szCs w:val="28"/>
        </w:rPr>
        <w:t>марта</w:t>
      </w:r>
      <w:r w:rsidR="00C4518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в 10 часов утра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поселения, каб.№7.    </w:t>
      </w:r>
    </w:p>
    <w:p w:rsidR="00124590" w:rsidRDefault="00124590" w:rsidP="001245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C4518C">
        <w:rPr>
          <w:sz w:val="28"/>
          <w:szCs w:val="28"/>
        </w:rPr>
        <w:t xml:space="preserve">9 год» обнародовать на информационных стендах, расположенных на территории </w:t>
      </w:r>
      <w:proofErr w:type="spellStart"/>
      <w:r w:rsidR="00C4518C">
        <w:rPr>
          <w:sz w:val="28"/>
          <w:szCs w:val="28"/>
        </w:rPr>
        <w:t>Кунашакского</w:t>
      </w:r>
      <w:proofErr w:type="spellEnd"/>
      <w:r w:rsidR="00C451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762998" w:rsidRDefault="00124590" w:rsidP="00124590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публичных слушаний утвердить  оргкомитет</w:t>
      </w:r>
      <w:r w:rsidR="00762998">
        <w:rPr>
          <w:sz w:val="28"/>
          <w:szCs w:val="28"/>
        </w:rPr>
        <w:t>, порядок учета предложений граждан, порядок участия граждан в обсуждении проекта (прилагается)</w:t>
      </w:r>
    </w:p>
    <w:p w:rsidR="00124590" w:rsidRDefault="00762998" w:rsidP="00124590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обнародования на информационных стендах, расположенных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24590" w:rsidRPr="00762998" w:rsidRDefault="00762998" w:rsidP="00124590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762998">
        <w:rPr>
          <w:sz w:val="28"/>
          <w:szCs w:val="28"/>
        </w:rPr>
        <w:t>Контроль по исполнению настоящего решения возложить на постоянную комиссию по бюджету, налогам и предпринимательству.</w:t>
      </w:r>
    </w:p>
    <w:p w:rsidR="00124590" w:rsidRDefault="00124590" w:rsidP="00124590">
      <w:pPr>
        <w:pStyle w:val="a3"/>
        <w:widowControl/>
        <w:autoSpaceDE/>
        <w:adjustRightInd/>
        <w:ind w:left="644"/>
        <w:jc w:val="both"/>
        <w:rPr>
          <w:sz w:val="28"/>
          <w:szCs w:val="28"/>
        </w:rPr>
      </w:pP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Ю.А. Хусаинова  </w:t>
      </w:r>
    </w:p>
    <w:p w:rsidR="00124590" w:rsidRDefault="00124590" w:rsidP="0012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124590" w:rsidRDefault="00124590" w:rsidP="0012459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E91551" w:rsidRDefault="00E91551" w:rsidP="00E9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C451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E91551" w:rsidRDefault="00E91551" w:rsidP="00E9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Шакирова О.Р.  -  председатель оргкомитета, заместитель Главы поселения по финансовым вопросам;</w:t>
      </w:r>
    </w:p>
    <w:p w:rsidR="00E91551" w:rsidRDefault="00E91551" w:rsidP="00E9155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Ибрагимов А.М. –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член оргкомитета.</w:t>
      </w:r>
    </w:p>
    <w:p w:rsidR="00E91551" w:rsidRDefault="00E91551" w:rsidP="00E91551">
      <w:pPr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51" w:rsidRDefault="00E91551" w:rsidP="00E91551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-  председатель постоянной комиссии по бюджету, налогам и предпринимательству, заместитель Председателя Совета депутатов поселения;</w:t>
      </w:r>
    </w:p>
    <w:p w:rsidR="002A01CB" w:rsidRDefault="002A01CB" w:rsidP="002A01CB">
      <w:pPr>
        <w:pStyle w:val="a3"/>
        <w:rPr>
          <w:sz w:val="28"/>
          <w:szCs w:val="28"/>
        </w:rPr>
      </w:pPr>
    </w:p>
    <w:p w:rsidR="002A01CB" w:rsidRPr="002A01CB" w:rsidRDefault="002A01CB" w:rsidP="002A01CB">
      <w:pPr>
        <w:pStyle w:val="a3"/>
        <w:widowControl/>
        <w:numPr>
          <w:ilvl w:val="0"/>
          <w:numId w:val="2"/>
        </w:numPr>
        <w:rPr>
          <w:sz w:val="28"/>
          <w:szCs w:val="28"/>
        </w:rPr>
      </w:pPr>
      <w:proofErr w:type="spellStart"/>
      <w:r w:rsidRPr="002A01CB">
        <w:rPr>
          <w:sz w:val="28"/>
          <w:szCs w:val="28"/>
        </w:rPr>
        <w:t>Фазрутдинова</w:t>
      </w:r>
      <w:proofErr w:type="spellEnd"/>
      <w:r w:rsidRPr="002A01CB">
        <w:rPr>
          <w:sz w:val="28"/>
          <w:szCs w:val="28"/>
        </w:rPr>
        <w:t xml:space="preserve"> З.Ф. – член оргкомитета, член </w:t>
      </w:r>
      <w:proofErr w:type="gramStart"/>
      <w:r w:rsidRPr="002A01CB">
        <w:rPr>
          <w:sz w:val="28"/>
          <w:szCs w:val="28"/>
        </w:rPr>
        <w:t>постоянной</w:t>
      </w:r>
      <w:proofErr w:type="gramEnd"/>
      <w:r w:rsidRPr="002A01CB">
        <w:rPr>
          <w:sz w:val="28"/>
          <w:szCs w:val="28"/>
        </w:rPr>
        <w:t xml:space="preserve"> </w:t>
      </w:r>
    </w:p>
    <w:p w:rsidR="002A01CB" w:rsidRDefault="002A01CB" w:rsidP="002A01CB">
      <w:pPr>
        <w:widowControl/>
        <w:autoSpaceDE/>
        <w:adjustRightInd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бюджету, налогам и предпринимательству</w:t>
      </w:r>
      <w:r w:rsidR="00762998">
        <w:rPr>
          <w:rFonts w:ascii="Times New Roman" w:hAnsi="Times New Roman" w:cs="Times New Roman"/>
          <w:sz w:val="28"/>
          <w:szCs w:val="28"/>
        </w:rPr>
        <w:t>;</w:t>
      </w:r>
    </w:p>
    <w:p w:rsidR="00B97D07" w:rsidRDefault="00E91551" w:rsidP="00E9155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97D07">
        <w:rPr>
          <w:rFonts w:ascii="Times New Roman" w:hAnsi="Times New Roman" w:cs="Times New Roman"/>
          <w:sz w:val="28"/>
          <w:szCs w:val="28"/>
        </w:rPr>
        <w:t xml:space="preserve"> </w:t>
      </w:r>
      <w:r w:rsidR="002A0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Хусаинова Ю.А.  – председатель Совета депутатов, 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51" w:rsidRDefault="00B97D07" w:rsidP="00E9155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55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1551">
        <w:rPr>
          <w:rFonts w:ascii="Times New Roman" w:hAnsi="Times New Roman" w:cs="Times New Roman"/>
          <w:sz w:val="28"/>
          <w:szCs w:val="28"/>
        </w:rPr>
        <w:t>бюджету, налогам и предпринимательству;</w:t>
      </w:r>
      <w:r w:rsidR="00E91551">
        <w:rPr>
          <w:rFonts w:ascii="Times New Roman" w:hAnsi="Times New Roman" w:cs="Times New Roman"/>
          <w:sz w:val="28"/>
          <w:szCs w:val="28"/>
        </w:rPr>
        <w:br/>
      </w:r>
    </w:p>
    <w:p w:rsidR="002A01CB" w:rsidRPr="002A01CB" w:rsidRDefault="00E91551" w:rsidP="002A01CB">
      <w:pPr>
        <w:pStyle w:val="a3"/>
        <w:widowControl/>
        <w:numPr>
          <w:ilvl w:val="0"/>
          <w:numId w:val="2"/>
        </w:numPr>
        <w:rPr>
          <w:sz w:val="28"/>
          <w:szCs w:val="28"/>
        </w:rPr>
      </w:pPr>
      <w:r w:rsidRPr="002A01CB">
        <w:rPr>
          <w:sz w:val="28"/>
          <w:szCs w:val="28"/>
        </w:rPr>
        <w:t xml:space="preserve">Хасанова Л.Н. -  секретарь оргкомитета, ведущий </w:t>
      </w:r>
    </w:p>
    <w:p w:rsidR="00E91551" w:rsidRPr="002A01CB" w:rsidRDefault="00E91551" w:rsidP="002A01CB">
      <w:pPr>
        <w:pStyle w:val="a3"/>
        <w:widowControl/>
        <w:ind w:left="502"/>
        <w:rPr>
          <w:sz w:val="28"/>
          <w:szCs w:val="28"/>
        </w:rPr>
      </w:pPr>
      <w:r w:rsidRPr="002A01CB">
        <w:rPr>
          <w:sz w:val="28"/>
          <w:szCs w:val="28"/>
        </w:rPr>
        <w:t xml:space="preserve">специалист по работе </w:t>
      </w:r>
      <w:r w:rsidR="00B97D07" w:rsidRPr="002A01CB">
        <w:rPr>
          <w:sz w:val="28"/>
          <w:szCs w:val="28"/>
        </w:rPr>
        <w:t xml:space="preserve"> </w:t>
      </w:r>
      <w:r w:rsidRPr="002A01CB">
        <w:rPr>
          <w:sz w:val="28"/>
          <w:szCs w:val="28"/>
        </w:rPr>
        <w:t>с</w:t>
      </w:r>
      <w:r w:rsidR="00B97D07" w:rsidRPr="002A01CB">
        <w:rPr>
          <w:sz w:val="28"/>
          <w:szCs w:val="28"/>
        </w:rPr>
        <w:t xml:space="preserve"> </w:t>
      </w:r>
      <w:r w:rsidRPr="002A01CB">
        <w:rPr>
          <w:sz w:val="28"/>
          <w:szCs w:val="28"/>
        </w:rPr>
        <w:t>депутатами.</w:t>
      </w:r>
    </w:p>
    <w:p w:rsidR="00E91551" w:rsidRPr="00B97D07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1551" w:rsidRPr="00B97D07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1551" w:rsidRDefault="00E91551" w:rsidP="00E915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590" w:rsidRDefault="00124590" w:rsidP="001245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06DE" w:rsidRPr="002606DE" w:rsidRDefault="008F13BD" w:rsidP="002606DE">
      <w:pPr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606DE" w:rsidRPr="002606DE">
        <w:rPr>
          <w:rFonts w:ascii="Times New Roman" w:eastAsia="Calibri" w:hAnsi="Times New Roman" w:cs="Times New Roman"/>
          <w:b/>
          <w:sz w:val="28"/>
          <w:szCs w:val="28"/>
        </w:rPr>
        <w:t>РОЕКТ</w:t>
      </w: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06DE" w:rsidRDefault="002606DE" w:rsidP="002606DE">
      <w:pPr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606DE" w:rsidRDefault="002606DE" w:rsidP="002606D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6DE" w:rsidRDefault="002606DE" w:rsidP="002606DE">
      <w:pPr>
        <w:rPr>
          <w:rFonts w:ascii="Times New Roman" w:eastAsia="Calibri" w:hAnsi="Times New Roman" w:cs="Times New Roman"/>
          <w:sz w:val="20"/>
          <w:szCs w:val="20"/>
        </w:rPr>
      </w:pPr>
    </w:p>
    <w:p w:rsidR="002606DE" w:rsidRDefault="002606DE" w:rsidP="002606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__ » __________2020 года № ___</w:t>
      </w:r>
    </w:p>
    <w:p w:rsidR="002606DE" w:rsidRDefault="002606DE" w:rsidP="002606DE">
      <w:pPr>
        <w:tabs>
          <w:tab w:val="left" w:pos="1080"/>
        </w:tabs>
        <w:ind w:right="56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6DE" w:rsidRDefault="002606DE" w:rsidP="002606DE">
      <w:pPr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за  2019  год.</w:t>
      </w: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</w:p>
    <w:p w:rsidR="002606DE" w:rsidRDefault="002606DE" w:rsidP="002606D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606DE" w:rsidRDefault="002606DE" w:rsidP="002606D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06DE" w:rsidRDefault="002606DE" w:rsidP="00260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по доходам в сумме 14 941,156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15 222,253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</w:p>
    <w:p w:rsidR="002606DE" w:rsidRDefault="002606DE" w:rsidP="002606D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606DE" w:rsidRDefault="002606DE" w:rsidP="002606D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2606DE" w:rsidRDefault="002606DE" w:rsidP="002606DE">
      <w:pPr>
        <w:rPr>
          <w:rFonts w:ascii="Times New Roman" w:hAnsi="Times New Roman" w:cs="Times New Roman"/>
          <w:sz w:val="28"/>
          <w:szCs w:val="28"/>
        </w:rPr>
      </w:pPr>
    </w:p>
    <w:p w:rsidR="002606DE" w:rsidRDefault="002606DE" w:rsidP="002606DE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со дня его подписания.</w:t>
      </w:r>
    </w:p>
    <w:p w:rsidR="002606DE" w:rsidRDefault="002606DE" w:rsidP="002606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2606DE" w:rsidRDefault="002606DE" w:rsidP="002606D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6DE" w:rsidRDefault="002606DE" w:rsidP="002606D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6DE" w:rsidRDefault="002606DE" w:rsidP="002606D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6DE" w:rsidRDefault="002606DE" w:rsidP="002606DE">
      <w:pPr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Ю.А.</w:t>
      </w:r>
      <w:r w:rsidR="00EA39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</w:p>
    <w:p w:rsidR="002606DE" w:rsidRDefault="002606DE" w:rsidP="002606DE">
      <w:pPr>
        <w:textAlignment w:val="baseline"/>
        <w:rPr>
          <w:rFonts w:ascii="Calibri" w:hAnsi="Calibri" w:cs="Tahoma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2606DE" w:rsidRPr="002606DE" w:rsidRDefault="002606DE" w:rsidP="002606DE">
      <w:pPr>
        <w:widowControl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606DE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eastAsia="Lucida Sans Unicode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Приложение 1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606DE" w:rsidRDefault="002606DE" w:rsidP="002606DE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сельского поселения за 2019 год»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_______2020г. № ___</w:t>
      </w:r>
    </w:p>
    <w:p w:rsidR="002606DE" w:rsidRDefault="002606DE" w:rsidP="002606DE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исполнении бюджета за 2019 г.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2606DE" w:rsidRDefault="002606DE" w:rsidP="002606DE">
      <w:pPr>
        <w:widowControl/>
        <w:jc w:val="center"/>
        <w:textAlignment w:val="baseline"/>
        <w:rPr>
          <w:rFonts w:ascii="Calibri" w:hAnsi="Calibri" w:cs="F"/>
        </w:rPr>
      </w:pPr>
      <w:r>
        <w:rPr>
          <w:rFonts w:ascii="Times New Roman" w:hAnsi="Times New Roman" w:cs="Times New Roman"/>
        </w:rPr>
        <w:t>Поступило доходов за 12 месяцев 2019 года:</w:t>
      </w: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3622"/>
        <w:gridCol w:w="870"/>
        <w:gridCol w:w="918"/>
        <w:gridCol w:w="920"/>
        <w:gridCol w:w="1025"/>
      </w:tblGrid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2606DE" w:rsidRDefault="002606DE">
            <w:pPr>
              <w:widowControl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2019г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поступило 2019 году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 на 01.01.2020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10611690050106000140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06DE" w:rsidTr="002606DE">
        <w:trPr>
          <w:trHeight w:val="290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AutoHyphens/>
              <w:spacing w:line="16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18210102021011000110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AutoHyphens/>
              <w:spacing w:line="16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2300,317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18210503010011000110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213,830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18210601030101000110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703,022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283,630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606DE" w:rsidTr="002606DE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18210606033101000110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4548,075</w:t>
            </w:r>
          </w:p>
        </w:tc>
        <w:tc>
          <w:tcPr>
            <w:tcW w:w="475" w:type="pct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1176,471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606DE" w:rsidTr="002606DE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18210606043101000110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2667,100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3398,315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autoSpaceDN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AutoHyphens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AutoHyphens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11164,600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11213,560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77520215001100000150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06DE" w:rsidTr="002606DE">
        <w:trPr>
          <w:trHeight w:val="401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77520215002100000150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DE" w:rsidTr="002606DE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77520229999100000150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DE" w:rsidTr="002606DE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77520230024100000150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93,250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93,250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77520240014100000150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326,306 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294,828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4,905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18,043</w:t>
            </w:r>
          </w:p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8,530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292,446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260,968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4,905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18,043</w:t>
            </w:r>
          </w:p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8,530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606DE" w:rsidRDefault="002606DE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3776,556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3742,696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2606DE" w:rsidTr="002606DE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14941,156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14956,256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1460,101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06DE" w:rsidRDefault="002606DE">
            <w:pPr>
              <w:widowControl/>
              <w:suppressLineNumbers/>
              <w:suppressAutoHyphens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2606DE" w:rsidRDefault="002606DE" w:rsidP="002606DE">
      <w:pPr>
        <w:widowControl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*Межбюджетные трансферты, передаваемые бюджетам сельских поселений из бюджетов муниципальных районов на осуществление части полномочий по решению, итого на общую сумму </w:t>
      </w:r>
      <w:r>
        <w:rPr>
          <w:rFonts w:ascii="Times New Roman" w:hAnsi="Times New Roman" w:cs="Times New Roman"/>
          <w:b/>
          <w:sz w:val="20"/>
          <w:szCs w:val="20"/>
        </w:rPr>
        <w:t>326,306</w:t>
      </w:r>
      <w:r>
        <w:rPr>
          <w:rFonts w:ascii="Times New Roman" w:hAnsi="Times New Roman" w:cs="Times New Roman"/>
          <w:sz w:val="20"/>
          <w:szCs w:val="20"/>
        </w:rPr>
        <w:t xml:space="preserve">тыс. руб. в том числе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606DE" w:rsidRDefault="002606DE" w:rsidP="002606DE">
      <w:pPr>
        <w:widowControl/>
        <w:numPr>
          <w:ilvl w:val="0"/>
          <w:numId w:val="3"/>
        </w:numPr>
        <w:suppressAutoHyphens/>
        <w:autoSpaceDE/>
        <w:adjustRightInd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Техническое обслуживание газопровода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унашак</w:t>
      </w:r>
      <w:proofErr w:type="spellEnd"/>
      <w:r>
        <w:rPr>
          <w:rFonts w:ascii="Times New Roman" w:hAnsi="Times New Roman" w:cs="Times New Roman"/>
          <w:sz w:val="20"/>
          <w:szCs w:val="20"/>
        </w:rPr>
        <w:t>. Уведомление №230 от 01.01.2019г. в сумме 170,800 тыс. руб.</w:t>
      </w:r>
    </w:p>
    <w:p w:rsidR="002606DE" w:rsidRDefault="002606DE" w:rsidP="002606DE">
      <w:pPr>
        <w:widowControl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Техническое обслуживание газопровода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унашак</w:t>
      </w:r>
      <w:proofErr w:type="spellEnd"/>
      <w:r>
        <w:rPr>
          <w:rFonts w:ascii="Times New Roman" w:hAnsi="Times New Roman" w:cs="Times New Roman"/>
          <w:sz w:val="20"/>
          <w:szCs w:val="20"/>
        </w:rPr>
        <w:t>. Уведомление № 5154 от 17.10.2019г. в сумме 124,028 тыс. руб.</w:t>
      </w:r>
    </w:p>
    <w:p w:rsidR="002606DE" w:rsidRDefault="002606DE" w:rsidP="002606DE">
      <w:pPr>
        <w:widowControl/>
        <w:numPr>
          <w:ilvl w:val="0"/>
          <w:numId w:val="3"/>
        </w:numPr>
        <w:suppressAutoHyphens/>
        <w:autoSpaceDE/>
        <w:adjustRightInd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ГСМ для участковых. Уведомление № 1021 от 06.03.2019г. в сумме 4,905 тыс. руб.</w:t>
      </w:r>
    </w:p>
    <w:p w:rsidR="002606DE" w:rsidRDefault="002606DE" w:rsidP="002606DE">
      <w:pPr>
        <w:widowControl/>
        <w:numPr>
          <w:ilvl w:val="0"/>
          <w:numId w:val="3"/>
        </w:numPr>
        <w:suppressAutoHyphens/>
        <w:autoSpaceDE/>
        <w:adjustRightInd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на 2019 год». Уведомление № 1721 от 05.04.2019г. в сумме 18,043 тыс. руб.</w:t>
      </w:r>
    </w:p>
    <w:p w:rsidR="002606DE" w:rsidRDefault="002606DE" w:rsidP="002606DE">
      <w:pPr>
        <w:widowControl/>
        <w:numPr>
          <w:ilvl w:val="0"/>
          <w:numId w:val="3"/>
        </w:numPr>
        <w:suppressAutoHyphens/>
        <w:autoSpaceDE/>
        <w:adjustRightInd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на 2018-2020годы». Уведомление № 1830 от 15.04.2019г. в сумме 8,530 тыс. руб.</w:t>
      </w:r>
    </w:p>
    <w:p w:rsidR="002606DE" w:rsidRDefault="002606DE" w:rsidP="002606DE">
      <w:pPr>
        <w:widowControl/>
        <w:textAlignment w:val="baseline"/>
        <w:rPr>
          <w:rFonts w:ascii="Times New Roman" w:eastAsia="Lucida Sans Unicode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*Субвенции бюджетам сельских поселений на выполнение передаваемых полномочий субъектов Российской Федерации итого на общую сумму </w:t>
      </w:r>
      <w:r>
        <w:rPr>
          <w:rFonts w:ascii="Times New Roman" w:hAnsi="Times New Roman" w:cs="Times New Roman"/>
          <w:b/>
          <w:sz w:val="20"/>
          <w:szCs w:val="20"/>
        </w:rPr>
        <w:t>93,250</w:t>
      </w:r>
      <w:r>
        <w:rPr>
          <w:rFonts w:ascii="Times New Roman" w:hAnsi="Times New Roman" w:cs="Times New Roman"/>
          <w:sz w:val="20"/>
          <w:szCs w:val="20"/>
        </w:rPr>
        <w:t xml:space="preserve"> тыс. руб. в том числе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1.   Отлов безнадзорных животных. Уведомление №1863 от 15.04.2019г. в сумме 32,600   </w:t>
      </w: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тыс. руб.</w:t>
      </w:r>
    </w:p>
    <w:p w:rsidR="002606DE" w:rsidRDefault="002606DE" w:rsidP="002606DE">
      <w:pPr>
        <w:widowControl/>
        <w:numPr>
          <w:ilvl w:val="0"/>
          <w:numId w:val="4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безнадзорный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животных, защите населения от болезней, общих для человека и животных. Уведомление №1904 от 28.08.2019г. в сумме 60,650 тыс. руб.</w:t>
      </w:r>
    </w:p>
    <w:p w:rsidR="002606DE" w:rsidRDefault="002606DE" w:rsidP="002606DE">
      <w:pPr>
        <w:widowControl/>
        <w:jc w:val="center"/>
        <w:textAlignment w:val="baseline"/>
        <w:rPr>
          <w:rFonts w:ascii="Times New Roman" w:eastAsia="Lucida Sans Unicode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Пояснение по недоимке:</w:t>
      </w: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Недоимка земельного налога по состоянию на 01.10.2019 года составляла 1829,183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., на 01.01.2020 года недоимка снизилась на 652,712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 или 55% и составила 1176,471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Недоимка налога на имущество по состоянию на 01.10.2019 года составляла 448,133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., на 01.01.2020 года недоимка снизилась на 164,504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 или 58% и составила 283,630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Default="002606DE" w:rsidP="002606DE">
      <w:pPr>
        <w:widowControl/>
        <w:textAlignment w:val="baseline"/>
        <w:rPr>
          <w:rFonts w:ascii="Times New Roman" w:hAnsi="Times New Roman" w:cs="Times New Roman"/>
        </w:rPr>
      </w:pPr>
    </w:p>
    <w:p w:rsidR="002606DE" w:rsidRPr="002606DE" w:rsidRDefault="002606DE" w:rsidP="002606DE">
      <w:pPr>
        <w:widowControl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Pr="002606DE">
        <w:rPr>
          <w:rFonts w:ascii="Times New Roman" w:hAnsi="Times New Roman" w:cs="Times New Roman"/>
          <w:b/>
        </w:rPr>
        <w:t>проект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606DE" w:rsidRDefault="002606DE" w:rsidP="002606DE">
      <w:pPr>
        <w:widowControl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2606DE" w:rsidRDefault="002606DE" w:rsidP="002606DE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606DE" w:rsidRDefault="002606DE" w:rsidP="002606DE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</w:p>
    <w:p w:rsidR="002606DE" w:rsidRDefault="002606DE" w:rsidP="002606DE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сельского поселения за 2019 год»</w:t>
      </w:r>
    </w:p>
    <w:p w:rsidR="002606DE" w:rsidRDefault="002606DE" w:rsidP="002606DE">
      <w:pPr>
        <w:widowControl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от __________2020г. № ____</w:t>
      </w:r>
    </w:p>
    <w:p w:rsidR="002606DE" w:rsidRDefault="002606DE" w:rsidP="002606DE">
      <w:pPr>
        <w:widowControl/>
        <w:tabs>
          <w:tab w:val="left" w:pos="2505"/>
        </w:tabs>
        <w:spacing w:line="200" w:lineRule="exac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606DE" w:rsidRDefault="002606DE" w:rsidP="002606DE">
      <w:pPr>
        <w:widowControl/>
        <w:tabs>
          <w:tab w:val="left" w:pos="2505"/>
        </w:tabs>
        <w:spacing w:line="200" w:lineRule="exac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 (всего расходов)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8"/>
        <w:gridCol w:w="1275"/>
        <w:gridCol w:w="993"/>
      </w:tblGrid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      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Виды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Принятый бюджет на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Фактический расход за 12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15222,253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14681,511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96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val="de-DE" w:eastAsia="ja-JP" w:bidi="fa-IR"/>
              </w:rPr>
            </w:pP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0102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а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на ф</w:t>
            </w:r>
            <w:r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725,672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725,633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0103 </w:t>
            </w:r>
            <w:r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8,846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59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0104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5550,627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5473,032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персонала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9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2887,497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2887,495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Закупка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,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работ 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муницип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альных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нужд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2495,126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2417,532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97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тепло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-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и водоснабжения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238,609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194,535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81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интернета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121,406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105,791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87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Заправка картриджей,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истем Гарант, обновление 1С.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117,665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115,550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98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widowControl/>
              <w:suppressAutoHyphens/>
              <w:spacing w:before="53" w:line="278" w:lineRule="exact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Техническое обслуживание ТСО, Охрана объекта, Публикация статьи в газету «Знамя труда», прочие работы и услуги согласно акта выполненных работ, Увеличение стоимости основных средств, Проведение мероприятий посвящённые к 9 мая, Сабантуй 2019г., день села.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 xml:space="preserve">1752,467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1752,306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приобретение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хозтовар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ов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, ГСМ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264,979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247,350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93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,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у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, транспортного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а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168,004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168,004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0106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зам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Главы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с/п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финансам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442,911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442,682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0113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Другие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вопросы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68,778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68,778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отлов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безнадзорных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животных: (15 собак)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37,300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37,300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03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10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Защита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населения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территории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322,082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322,082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т.ч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.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ликвидация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322,082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322,082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0405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содержанию: (18 собак)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C00000"/>
                <w:lang w:eastAsia="ja-JP" w:bidi="fa-IR"/>
              </w:rPr>
              <w:t>93,250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C00000"/>
                <w:lang w:eastAsia="ja-JP" w:bidi="fa-IR"/>
              </w:rPr>
            </w:pPr>
            <w:r>
              <w:rPr>
                <w:rFonts w:ascii="Times New Roman" w:hAnsi="Times New Roman" w:cs="Tahoma"/>
                <w:color w:val="C00000"/>
                <w:lang w:eastAsia="ja-JP" w:bidi="fa-IR"/>
              </w:rPr>
              <w:t>93,250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0409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дорожного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хозяйства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Электроэнергия светофора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22,097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19,832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коммунальн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Хозяйства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тех. обслуживание системы газоснабжения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294,828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260,968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88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0503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Уличное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освещение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2606DE" w:rsidRDefault="002606DE" w:rsidP="002606DE">
            <w:pPr>
              <w:widowControl/>
              <w:spacing w:before="110" w:line="278" w:lineRule="exact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1.Электроэнергия уличного освещения в сумме 1939,683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2.Ремонт светодиодных ламп в сумме 27,333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3.Электроосвещение спортивной площадки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сумме 57,947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                                                                                                                                                                                               4.Увеличение стоимости основных средств –</w:t>
            </w:r>
            <w:proofErr w:type="spellStart"/>
            <w:r>
              <w:rPr>
                <w:rFonts w:ascii="Times New Roman" w:hAnsi="Times New Roman" w:cs="Times New Roman"/>
              </w:rPr>
              <w:t>углошлифовочная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машинка в сумме 2,050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5.Хоз.товары (фотореле, лампа, </w:t>
            </w:r>
            <w:proofErr w:type="spellStart"/>
            <w:r>
              <w:rPr>
                <w:rFonts w:ascii="Times New Roman" w:hAnsi="Times New Roman" w:cs="Times New Roman"/>
              </w:rPr>
              <w:t>провод,клема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сумме 69,277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lastRenderedPageBreak/>
              <w:t>2490,941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2096,290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84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widowControl/>
              <w:tabs>
                <w:tab w:val="left" w:pos="9216"/>
              </w:tabs>
              <w:suppressAutoHyphens/>
              <w:spacing w:before="110" w:after="200" w:line="278" w:lineRule="exact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lastRenderedPageBreak/>
              <w:t xml:space="preserve">0503 Прочие мероприятия по благоустройству:           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Транспортные услуги по доставке щебня, мраморного памятка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доставка металлического ограждения </w:t>
            </w:r>
            <w:proofErr w:type="spellStart"/>
            <w:r>
              <w:rPr>
                <w:rFonts w:ascii="Times New Roman" w:hAnsi="Times New Roman" w:cs="Times New Roman"/>
              </w:rPr>
              <w:t>д.Арыково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погрузка и разгрузка щебня экскаватором, услуги </w:t>
            </w:r>
            <w:proofErr w:type="spellStart"/>
            <w:r>
              <w:rPr>
                <w:rFonts w:ascii="Times New Roman" w:hAnsi="Times New Roman" w:cs="Times New Roman"/>
              </w:rPr>
              <w:t>спец.техники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разгрузке контейнеров  в сумме 35,856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2.Благоустройство территории с/поселения:  дворник, обслуживание фонтана, скос травы, благоустройство территории памятника скорбящей матери, итого в сумме 439,372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                3.Устройство забора и тротуара плиткой ДШИ, благоустройство микрорайона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снос сарая,  устройство ограждения </w:t>
            </w:r>
            <w:proofErr w:type="spellStart"/>
            <w:r>
              <w:rPr>
                <w:rFonts w:ascii="Times New Roman" w:hAnsi="Times New Roman" w:cs="Times New Roman"/>
              </w:rPr>
              <w:t>д.Арыково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ограждение </w:t>
            </w:r>
            <w:proofErr w:type="spellStart"/>
            <w:r>
              <w:rPr>
                <w:rFonts w:ascii="Times New Roman" w:hAnsi="Times New Roman" w:cs="Times New Roman"/>
              </w:rPr>
              <w:t>Кунашакская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ограждения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90, укладка тротуарной плитки в </w:t>
            </w:r>
            <w:proofErr w:type="spellStart"/>
            <w:r>
              <w:rPr>
                <w:rFonts w:ascii="Times New Roman" w:hAnsi="Times New Roman" w:cs="Times New Roman"/>
              </w:rPr>
              <w:t>д.Арыково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установка доставка под люковой плиты с люком, кадастровые работы по подготовке </w:t>
            </w:r>
            <w:proofErr w:type="spellStart"/>
            <w:r>
              <w:rPr>
                <w:rFonts w:ascii="Times New Roman" w:hAnsi="Times New Roman" w:cs="Times New Roman"/>
              </w:rPr>
              <w:t>тех.плана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сумме 1377,229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4.Пастьба скота в сумме 98,924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5. Мраморный памятник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биркователя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металического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ограждение </w:t>
            </w:r>
            <w:proofErr w:type="spellStart"/>
            <w:r>
              <w:rPr>
                <w:rFonts w:ascii="Times New Roman" w:hAnsi="Times New Roman" w:cs="Times New Roman"/>
              </w:rPr>
              <w:t>д.Арыково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изготовление остановки по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90  в сумме 128,625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5. </w:t>
            </w:r>
            <w:proofErr w:type="spellStart"/>
            <w:r>
              <w:rPr>
                <w:rFonts w:ascii="Times New Roman" w:hAnsi="Times New Roman" w:cs="Times New Roman"/>
              </w:rPr>
              <w:t>ГСМ,строительный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 для ремонта в клубе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Рассада (петунья, бархатцы), на приобретение кирпича, колпаков, отливов, цемента, тротуарная плитка итого на сумму 639,504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2745,455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2719,511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0503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П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одпрограмма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Благоустройство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внутри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дворовых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территорий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микрорайонах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с.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Кунашак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2018-2020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годы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</w:p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1.Транспортные услуги по доставке Вазонов в сумме 6,500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.                                                                                          2.Разработка эскизного проекта на обустройство сквера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ул.Ленина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д.113, Укладка тротуарной плитки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д.Борисовка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на территории обелиска, Устройство обелиска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д.Борисовка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Установка обелиска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п.Маяк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на сумму 231,176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.  3.Приобретены вазоны «клен»,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хоз.товары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щебень фракционный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д.Борисовка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для пешеходной зоны в сумме 138,983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376,659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 xml:space="preserve">376,659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0503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Подпрограмма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Благоустройство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территории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сквера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центре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унашак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со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строительством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нового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фонтана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2018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году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</w:p>
          <w:p w:rsidR="002606DE" w:rsidRDefault="002606DE">
            <w:pPr>
              <w:widowControl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lastRenderedPageBreak/>
              <w:t>1.Изготовление и установка вращающей калитки на фонтане,</w:t>
            </w:r>
          </w:p>
          <w:p w:rsidR="002606DE" w:rsidRDefault="002606DE">
            <w:pPr>
              <w:widowControl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спил деревьев на фонтане и вывоз на свалку в сумме 5,500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                2.Изготовление, покраска и установка ограждения на фонтане</w:t>
            </w:r>
          </w:p>
          <w:p w:rsidR="002606DE" w:rsidRDefault="002606DE">
            <w:pPr>
              <w:widowControl/>
              <w:suppressAutoHyphens/>
              <w:spacing w:line="276" w:lineRule="auto"/>
              <w:textAlignment w:val="baseline"/>
              <w:rPr>
                <w:rFonts w:ascii="Times New Roman" w:hAnsi="Times New Roman" w:cs="Tahoma"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мойка высокого давления и насос циркуляционный в сумме 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                                                           60,160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.                                                                                                      3.Хоз.товары: насадка соединительная в сумме 1,020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lastRenderedPageBreak/>
              <w:t>66,680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lastRenderedPageBreak/>
              <w:t>0503 Подпрограмма Благоустройство  территорий  детских  площадок  с  обновлением  в  них  оборудования: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1.Транспортные услуги по доставке щебня,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песа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ограждения на детскую площадку по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-Маркса, доставка ограждения по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ул.Ключевая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доставка ограждения д/п. по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ул.Российская,доставка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карусели и качели в сумме 15,900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2.Сборка детской площадки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д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.Б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орисовка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Ремонт детской площадки по ул.2-я Лесная, Ключевая, Октябрьская, Установка ограждения по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-Маркса и Ключевая, установка ограждения д/п по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ул.Российская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установка и сборка д/п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п.Лесной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сборка и установка карусели и качели в сумме 68,680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3. Изготовление ограждения детской площадки по ул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-Марса,2-я Луговая, 2-я Лесная, Ключевая, Российская, приобрели 4 д/п в сумме 502,395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  <w:p w:rsidR="002606DE" w:rsidRDefault="002606DE" w:rsidP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4. Приобретен щебень фракционный в сумме 25,671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тыс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уб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612,646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612,646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0503 МП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«Энергосбережение» на 2017г. и плановый период 2018 и 2019 годов: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Светильники светодиодные (351шт.), ремонт светильников</w:t>
            </w:r>
          </w:p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680,792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680,792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1003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Доплаты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к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пенсиям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служащих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40,233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40,233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1003 Оказание других видов социальной помощи</w:t>
            </w:r>
          </w:p>
          <w:p w:rsidR="002606DE" w:rsidRDefault="002606DE" w:rsidP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Оказана материальная помощь погорельцам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2606DE" w:rsidTr="002606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1102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МП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годов:</w:t>
            </w:r>
          </w:p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1.Транспортные расходы на соревнование в сумме 4,575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06DE" w:rsidRDefault="002606DE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Изготовление ледяного городка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фонтан в сумму 250,000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06DE" w:rsidRDefault="002606DE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3.Соревнование по баскетболу в сумме 2,000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     4.Спорт оборудование - лыжи пластиковые, ботинки, палки. Спорт инвентарь – </w:t>
            </w:r>
            <w:proofErr w:type="spellStart"/>
            <w:r>
              <w:rPr>
                <w:rFonts w:ascii="Times New Roman" w:hAnsi="Times New Roman" w:cs="Times New Roman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раковина, щитки, </w:t>
            </w:r>
            <w:proofErr w:type="spellStart"/>
            <w:r>
              <w:rPr>
                <w:rFonts w:ascii="Times New Roman" w:hAnsi="Times New Roman" w:cs="Times New Roman"/>
              </w:rPr>
              <w:t>клющка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сумка вратаря,  </w:t>
            </w:r>
            <w:proofErr w:type="spellStart"/>
            <w:r>
              <w:rPr>
                <w:rFonts w:ascii="Times New Roman" w:hAnsi="Times New Roman" w:cs="Times New Roman"/>
              </w:rPr>
              <w:t>хок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ерх.сублим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 инвентарь – лыжи коньковые, лыжи классика, палки, ботинки </w:t>
            </w:r>
            <w:proofErr w:type="spellStart"/>
            <w:r>
              <w:rPr>
                <w:rFonts w:ascii="Times New Roman" w:hAnsi="Times New Roman" w:cs="Times New Roman"/>
              </w:rPr>
              <w:t>комбы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крепления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сумму 397,020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653,600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653,595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DE" w:rsidRDefault="002606DE">
            <w:pPr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</w:tbl>
    <w:p w:rsidR="002606DE" w:rsidRDefault="002606DE" w:rsidP="002606DE"/>
    <w:p w:rsidR="00FE086F" w:rsidRDefault="00FE086F" w:rsidP="002606DE"/>
    <w:p w:rsidR="00FE086F" w:rsidRDefault="00FE086F" w:rsidP="002606DE"/>
    <w:p w:rsidR="00FE086F" w:rsidRPr="00FE086F" w:rsidRDefault="00FE086F" w:rsidP="00FE086F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Порядок</w:t>
      </w:r>
      <w:proofErr w:type="spellEnd"/>
    </w:p>
    <w:p w:rsidR="00FE086F" w:rsidRPr="00FE086F" w:rsidRDefault="00FE086F" w:rsidP="00FE086F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участия</w:t>
      </w:r>
      <w:proofErr w:type="spellEnd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граждан</w:t>
      </w:r>
      <w:proofErr w:type="spellEnd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в </w:t>
      </w: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обсуждении</w:t>
      </w:r>
      <w:proofErr w:type="spellEnd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проекта</w:t>
      </w:r>
      <w:proofErr w:type="spellEnd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решения</w:t>
      </w:r>
      <w:proofErr w:type="spellEnd"/>
    </w:p>
    <w:p w:rsidR="00FE086F" w:rsidRPr="00FE086F" w:rsidRDefault="00FE086F" w:rsidP="00FE086F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FE086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Совета депутатов </w:t>
      </w: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Кунашакского</w:t>
      </w:r>
      <w:proofErr w:type="spellEnd"/>
      <w:r w:rsidRPr="00FE086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сельского поселения</w:t>
      </w:r>
    </w:p>
    <w:p w:rsidR="00FE086F" w:rsidRPr="00FE086F" w:rsidRDefault="00FE086F" w:rsidP="00FE086F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«О</w:t>
      </w:r>
      <w:r w:rsidRPr="00FE086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б исполнении бюджета </w:t>
      </w:r>
      <w:proofErr w:type="spellStart"/>
      <w:r w:rsidRPr="00FE086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Кунашакского</w:t>
      </w:r>
      <w:proofErr w:type="spellEnd"/>
      <w:r w:rsidRPr="00FE086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сельского поселения за 2019 год</w:t>
      </w:r>
      <w:r w:rsidRPr="00FE086F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»</w:t>
      </w:r>
    </w:p>
    <w:p w:rsidR="00FE086F" w:rsidRPr="00FE086F" w:rsidRDefault="00FE086F" w:rsidP="00FE086F">
      <w:pPr>
        <w:widowControl/>
        <w:suppressAutoHyphens/>
        <w:autoSpaceDE/>
        <w:adjustRightInd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E086F" w:rsidRPr="00FE086F" w:rsidRDefault="00FE086F" w:rsidP="00FE086F">
      <w:pPr>
        <w:widowControl/>
        <w:suppressAutoHyphens/>
        <w:autoSpaceDE/>
        <w:adjustRightInd/>
        <w:ind w:firstLine="540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E086F" w:rsidRPr="00FE086F" w:rsidRDefault="00FE086F" w:rsidP="00FE086F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Граждане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извещаются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через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средства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массовой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информации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о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проведении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слушаний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проекту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решения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FE08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Совета депутатов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eastAsia="ja-JP" w:bidi="fa-IR"/>
        </w:rPr>
        <w:t>Кунашакского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сельского поселения « Об исполнении бюджета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eastAsia="ja-JP" w:bidi="fa-IR"/>
        </w:rPr>
        <w:t>Кунашакского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сельского поселения за 2019 год</w:t>
      </w:r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FE086F" w:rsidRPr="00FE086F" w:rsidRDefault="00FE086F" w:rsidP="00FE086F">
      <w:pPr>
        <w:widowControl/>
        <w:tabs>
          <w:tab w:val="left" w:pos="851"/>
        </w:tabs>
        <w:suppressAutoHyphens/>
        <w:autoSpaceDE/>
        <w:adjustRightInd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E086F" w:rsidRPr="00FE086F" w:rsidRDefault="00FE086F" w:rsidP="00FE086F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FE086F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раждане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желающие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выступить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предложениями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слушаниях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направляют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заявку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выступление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слушаниях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сроки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позднее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пяти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рабочих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дней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до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дня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проведения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слушаний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Заявки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выступление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подаются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 в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письменной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форме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в</w:t>
      </w:r>
      <w:r w:rsidRPr="00FE086F">
        <w:rPr>
          <w:rFonts w:ascii="Times New Roman" w:eastAsia="Calibri" w:hAnsi="Times New Roman" w:cs="Times New Roman"/>
          <w:kern w:val="3"/>
          <w:lang w:eastAsia="ja-JP" w:bidi="fa-IR"/>
        </w:rPr>
        <w:t xml:space="preserve">едущему специалисту по работе с депутатами </w:t>
      </w:r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(</w:t>
      </w:r>
      <w:r w:rsidRPr="00FE086F">
        <w:rPr>
          <w:rFonts w:ascii="Times New Roman" w:eastAsia="Calibri" w:hAnsi="Times New Roman" w:cs="Times New Roman"/>
          <w:kern w:val="3"/>
          <w:lang w:eastAsia="ja-JP" w:bidi="fa-IR"/>
        </w:rPr>
        <w:t>Челябинская область, с. Кунашак, ул. Ленина, д.92,</w:t>
      </w:r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кабинет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№2</w:t>
      </w:r>
      <w:proofErr w:type="gram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)</w:t>
      </w:r>
      <w:proofErr w:type="gram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. В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заявке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выступление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должны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быть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указаны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фамилия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имя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отчество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контактная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информация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жителя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 </w:t>
      </w:r>
      <w:proofErr w:type="spellStart"/>
      <w:r w:rsidRPr="00FE086F">
        <w:rPr>
          <w:rFonts w:ascii="Times New Roman" w:eastAsia="Calibri" w:hAnsi="Times New Roman" w:cs="Times New Roman"/>
          <w:bCs/>
          <w:kern w:val="3"/>
          <w:lang w:eastAsia="ja-JP" w:bidi="fa-IR"/>
        </w:rPr>
        <w:t>Кунашакского</w:t>
      </w:r>
      <w:proofErr w:type="spellEnd"/>
      <w:r w:rsidRPr="00FE086F">
        <w:rPr>
          <w:rFonts w:ascii="Times New Roman" w:eastAsia="Calibri" w:hAnsi="Times New Roman" w:cs="Times New Roman"/>
          <w:bCs/>
          <w:kern w:val="3"/>
          <w:lang w:eastAsia="ja-JP" w:bidi="fa-IR"/>
        </w:rPr>
        <w:t xml:space="preserve"> сельского поселения Челябинской области</w:t>
      </w:r>
      <w:r w:rsidRPr="00FE086F">
        <w:rPr>
          <w:rFonts w:ascii="Times New Roman" w:eastAsia="Calibri" w:hAnsi="Times New Roman" w:cs="Times New Roman"/>
          <w:b/>
          <w:bCs/>
          <w:kern w:val="3"/>
          <w:lang w:val="de-DE" w:eastAsia="ja-JP" w:bidi="fa-IR"/>
        </w:rPr>
        <w:t>,</w:t>
      </w:r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желающего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выступить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ja-JP" w:bidi="fa-IR"/>
        </w:rPr>
        <w:t>.</w:t>
      </w:r>
    </w:p>
    <w:p w:rsidR="00FE086F" w:rsidRPr="00FE086F" w:rsidRDefault="00FE086F" w:rsidP="00FE086F">
      <w:pPr>
        <w:widowControl/>
        <w:tabs>
          <w:tab w:val="left" w:pos="851"/>
        </w:tabs>
        <w:suppressAutoHyphens/>
        <w:autoSpaceDE/>
        <w:adjustRightInd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E086F" w:rsidRPr="00FE086F" w:rsidRDefault="00FE086F" w:rsidP="00FE086F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Предложения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должны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касаться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исключительно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вопроса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публичных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слушаний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,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соответствовать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законодательству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и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муниципальным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правовым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актам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r w:rsidRPr="00FE086F">
        <w:rPr>
          <w:rFonts w:ascii="Times New Roman" w:eastAsia="Calibri" w:hAnsi="Times New Roman" w:cs="Times New Roman"/>
          <w:bCs/>
          <w:kern w:val="3"/>
          <w:lang w:eastAsia="en-US" w:bidi="fa-IR"/>
        </w:rPr>
        <w:t>Совета депутатов</w:t>
      </w:r>
      <w:r w:rsidRPr="00FE086F">
        <w:rPr>
          <w:rFonts w:ascii="Times New Roman" w:eastAsia="Calibri" w:hAnsi="Times New Roman" w:cs="Times New Roman"/>
          <w:kern w:val="3"/>
          <w:lang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bCs/>
          <w:kern w:val="3"/>
          <w:lang w:eastAsia="en-US" w:bidi="fa-IR"/>
        </w:rPr>
        <w:t>Кунашакского</w:t>
      </w:r>
      <w:proofErr w:type="spellEnd"/>
      <w:r w:rsidRPr="00FE086F">
        <w:rPr>
          <w:rFonts w:ascii="Times New Roman" w:eastAsia="Calibri" w:hAnsi="Times New Roman" w:cs="Times New Roman"/>
          <w:bCs/>
          <w:kern w:val="3"/>
          <w:lang w:eastAsia="en-US" w:bidi="fa-IR"/>
        </w:rPr>
        <w:t xml:space="preserve"> сельского поселения Челябинской области</w:t>
      </w:r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,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содержать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мотивированное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 xml:space="preserve"> </w:t>
      </w:r>
      <w:proofErr w:type="spellStart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обоснование</w:t>
      </w:r>
      <w:proofErr w:type="spellEnd"/>
      <w:r w:rsidRPr="00FE086F">
        <w:rPr>
          <w:rFonts w:ascii="Times New Roman" w:eastAsia="Calibri" w:hAnsi="Times New Roman" w:cs="Times New Roman"/>
          <w:kern w:val="3"/>
          <w:lang w:val="de-DE" w:eastAsia="en-US" w:bidi="fa-IR"/>
        </w:rPr>
        <w:t>.</w:t>
      </w:r>
    </w:p>
    <w:p w:rsidR="00FE086F" w:rsidRPr="00FE086F" w:rsidRDefault="00FE086F" w:rsidP="00FE086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E086F" w:rsidRPr="00FE086F" w:rsidRDefault="00FE086F" w:rsidP="00FE086F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Гражданин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представивший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предложение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соответствующее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требованиям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подавший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заявку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выступление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включается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Оргкомитетом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список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выступающих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слушаниях</w:t>
      </w:r>
      <w:proofErr w:type="spellEnd"/>
      <w:r w:rsidRPr="00FE086F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FE086F" w:rsidRPr="00FE086F" w:rsidRDefault="00FE086F" w:rsidP="00FE086F">
      <w:pPr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E086F" w:rsidRPr="00FE086F" w:rsidRDefault="00FE086F" w:rsidP="00FE086F">
      <w:pPr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ind w:hanging="36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Регистрация</w:t>
      </w:r>
      <w:proofErr w:type="spellEnd"/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участников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слушаний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проводится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день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проведения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слушаний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заканчивается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момент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начала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проведения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слушаний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FE086F" w:rsidRPr="00FE086F" w:rsidRDefault="00FE086F" w:rsidP="00FE086F">
      <w:pPr>
        <w:tabs>
          <w:tab w:val="left" w:pos="851"/>
        </w:tabs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E086F" w:rsidRPr="00FE086F" w:rsidRDefault="00FE086F" w:rsidP="00FE086F">
      <w:pPr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ind w:hanging="360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итогам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проведения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публичных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слушаний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принимается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итоговый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документ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включающий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мотивированное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обоснование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принятых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решений</w:t>
      </w:r>
      <w:proofErr w:type="spellEnd"/>
      <w:r w:rsidRPr="00FE086F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FE086F" w:rsidRPr="00FE086F" w:rsidRDefault="00FE086F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E086F" w:rsidRPr="00FE086F" w:rsidRDefault="00FE086F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E086F" w:rsidRPr="00FE086F" w:rsidRDefault="00FE086F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val="de-DE" w:eastAsia="ja-JP" w:bidi="fa-IR"/>
        </w:rPr>
      </w:pPr>
    </w:p>
    <w:p w:rsidR="00FE086F" w:rsidRPr="00FE086F" w:rsidRDefault="00FE086F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val="de-DE" w:eastAsia="ja-JP" w:bidi="fa-IR"/>
        </w:rPr>
      </w:pPr>
      <w:proofErr w:type="spellStart"/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Председатель</w:t>
      </w:r>
      <w:proofErr w:type="spellEnd"/>
    </w:p>
    <w:p w:rsidR="00FE086F" w:rsidRPr="00FE086F" w:rsidRDefault="00FE086F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FE086F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Совета депутатов </w:t>
      </w:r>
      <w:proofErr w:type="spellStart"/>
      <w:r w:rsidRPr="00FE086F">
        <w:rPr>
          <w:rFonts w:ascii="Times New Roman" w:eastAsia="Andale Sans UI" w:hAnsi="Times New Roman" w:cs="Tahoma"/>
          <w:bCs/>
          <w:kern w:val="3"/>
          <w:lang w:eastAsia="ja-JP" w:bidi="fa-IR"/>
        </w:rPr>
        <w:t>Кунашакского</w:t>
      </w:r>
      <w:proofErr w:type="spellEnd"/>
    </w:p>
    <w:p w:rsidR="00FE086F" w:rsidRDefault="00FE086F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FE086F">
        <w:rPr>
          <w:rFonts w:ascii="Times New Roman" w:eastAsia="Andale Sans UI" w:hAnsi="Times New Roman" w:cs="Tahoma"/>
          <w:bCs/>
          <w:kern w:val="3"/>
          <w:lang w:eastAsia="ja-JP" w:bidi="fa-IR"/>
        </w:rPr>
        <w:t>сельского поселения</w:t>
      </w:r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</w:r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</w:r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</w:r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</w:r>
      <w:r w:rsidRPr="00FE086F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  <w:t xml:space="preserve">                                          </w:t>
      </w:r>
      <w:r w:rsidRPr="00FE086F">
        <w:rPr>
          <w:rFonts w:ascii="Times New Roman" w:eastAsia="Andale Sans UI" w:hAnsi="Times New Roman" w:cs="Tahoma"/>
          <w:bCs/>
          <w:kern w:val="3"/>
          <w:lang w:eastAsia="ja-JP" w:bidi="fa-IR"/>
        </w:rPr>
        <w:t>Ю.А. Хусаинова</w:t>
      </w:r>
    </w:p>
    <w:p w:rsidR="00991436" w:rsidRDefault="00991436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991436" w:rsidRDefault="00991436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991436" w:rsidRDefault="00991436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991436" w:rsidRDefault="00991436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991436" w:rsidRPr="00FE086F" w:rsidRDefault="00991436" w:rsidP="00FE086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E086F" w:rsidRPr="00FE086F" w:rsidRDefault="00FE086F" w:rsidP="00FE086F">
      <w:pPr>
        <w:suppressAutoHyphens/>
        <w:autoSpaceDE/>
        <w:adjustRightInd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991436" w:rsidRDefault="00991436" w:rsidP="00991436">
      <w:pPr>
        <w:pStyle w:val="ConsPlusTitle"/>
        <w:rPr>
          <w:rFonts w:ascii="Times New Roman" w:hAnsi="Times New Roman" w:cs="Times New Roman"/>
        </w:rPr>
      </w:pPr>
    </w:p>
    <w:p w:rsidR="00991436" w:rsidRDefault="00991436" w:rsidP="0099143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991436" w:rsidRDefault="00991436" w:rsidP="0099143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предложений граждан по проекту решения</w:t>
      </w:r>
    </w:p>
    <w:p w:rsidR="00991436" w:rsidRDefault="00991436" w:rsidP="0099143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91436" w:rsidRDefault="00991436" w:rsidP="0099143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2019 год»</w:t>
      </w:r>
    </w:p>
    <w:p w:rsidR="00991436" w:rsidRDefault="00991436" w:rsidP="00991436">
      <w:pPr>
        <w:pStyle w:val="ConsPlusNonformat"/>
        <w:rPr>
          <w:rFonts w:ascii="Times New Roman" w:hAnsi="Times New Roman" w:cs="Times New Roman"/>
        </w:rPr>
      </w:pPr>
    </w:p>
    <w:p w:rsidR="00991436" w:rsidRDefault="00991436" w:rsidP="009914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436" w:rsidRDefault="00991436" w:rsidP="009914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б исполнении бюджета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за 2019 год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далее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проект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принимаются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дня</w:t>
      </w:r>
      <w:proofErr w:type="spellEnd"/>
      <w:r>
        <w:rPr>
          <w:rFonts w:ascii="Times New Roman" w:hAnsi="Times New Roman" w:cs="Times New Roman"/>
        </w:rPr>
        <w:t xml:space="preserve"> о</w:t>
      </w:r>
      <w:proofErr w:type="spellStart"/>
      <w:r>
        <w:rPr>
          <w:rFonts w:ascii="Times New Roman" w:hAnsi="Times New Roman" w:cs="Times New Roman"/>
          <w:lang w:val="ru-RU"/>
        </w:rPr>
        <w:t>бнародования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проекта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решения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на информационных стендах, расположенных на территории </w:t>
      </w:r>
      <w:proofErr w:type="spellStart"/>
      <w:r>
        <w:rPr>
          <w:rFonts w:ascii="Times New Roman" w:hAnsi="Times New Roman" w:cs="Times New Roman"/>
          <w:bCs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сельского поселения, а также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bCs/>
        </w:rPr>
        <w:t>.</w:t>
      </w:r>
    </w:p>
    <w:p w:rsidR="00991436" w:rsidRDefault="00991436" w:rsidP="0099143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91436" w:rsidRPr="008F13BD" w:rsidRDefault="00991436" w:rsidP="0099143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подаются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письменной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форме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указанием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отчество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жительства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учебы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ru-RU"/>
        </w:rPr>
        <w:t>ведущему специалисту по работе с депутатами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Челябинская область, с. Кунашак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ул. Ленина</w:t>
      </w:r>
      <w:r>
        <w:rPr>
          <w:rFonts w:ascii="Times New Roman" w:hAnsi="Times New Roman" w:cs="Times New Roman"/>
        </w:rPr>
        <w:t xml:space="preserve">, д. 92, </w:t>
      </w:r>
      <w:proofErr w:type="spellStart"/>
      <w:r>
        <w:rPr>
          <w:rFonts w:ascii="Times New Roman" w:hAnsi="Times New Roman" w:cs="Times New Roman"/>
        </w:rPr>
        <w:t>кабинет</w:t>
      </w:r>
      <w:proofErr w:type="spellEnd"/>
      <w:r>
        <w:rPr>
          <w:rFonts w:ascii="Times New Roman" w:hAnsi="Times New Roman" w:cs="Times New Roman"/>
        </w:rPr>
        <w:t xml:space="preserve"> № 2),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регистрируются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передаются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рассмотрение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Оргкомитету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  <w:lang w:val="ru-RU"/>
        </w:rPr>
        <w:t xml:space="preserve">б исполнении бюджета </w:t>
      </w:r>
      <w:proofErr w:type="spellStart"/>
      <w:r w:rsidRPr="008F13BD">
        <w:rPr>
          <w:rFonts w:ascii="Times New Roman" w:hAnsi="Times New Roman" w:cs="Times New Roman"/>
          <w:lang w:val="ru-RU"/>
        </w:rPr>
        <w:t>Кунашакского</w:t>
      </w:r>
      <w:proofErr w:type="spellEnd"/>
      <w:r w:rsidRPr="008F13BD">
        <w:rPr>
          <w:rFonts w:ascii="Times New Roman" w:hAnsi="Times New Roman" w:cs="Times New Roman"/>
          <w:lang w:val="ru-RU"/>
        </w:rPr>
        <w:t xml:space="preserve"> сельского поселения за 2019 год</w:t>
      </w:r>
      <w:r w:rsidRPr="008F13BD">
        <w:rPr>
          <w:rFonts w:ascii="Times New Roman" w:hAnsi="Times New Roman" w:cs="Times New Roman"/>
        </w:rPr>
        <w:t>».</w:t>
      </w:r>
    </w:p>
    <w:p w:rsidR="00991436" w:rsidRPr="008F13BD" w:rsidRDefault="00991436" w:rsidP="0099143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991436" w:rsidRPr="008F13BD" w:rsidRDefault="00991436" w:rsidP="00991436">
      <w:pPr>
        <w:pStyle w:val="Standard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F13BD">
        <w:rPr>
          <w:rFonts w:ascii="Times New Roman" w:eastAsia="Calibri" w:hAnsi="Times New Roman" w:cs="Times New Roman"/>
          <w:lang w:eastAsia="en-US"/>
        </w:rPr>
        <w:t xml:space="preserve">3. 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Pr="008F13BD">
        <w:rPr>
          <w:rFonts w:ascii="Times New Roman" w:eastAsia="Calibri" w:hAnsi="Times New Roman" w:cs="Times New Roman"/>
          <w:bCs/>
          <w:lang w:eastAsia="en-US"/>
        </w:rPr>
        <w:t xml:space="preserve">Совета депутатов </w:t>
      </w:r>
      <w:proofErr w:type="spellStart"/>
      <w:r w:rsidRPr="008F13BD">
        <w:rPr>
          <w:rFonts w:ascii="Times New Roman" w:eastAsia="Calibri" w:hAnsi="Times New Roman" w:cs="Times New Roman"/>
          <w:bCs/>
          <w:lang w:eastAsia="en-US"/>
        </w:rPr>
        <w:t>Кунашакского</w:t>
      </w:r>
      <w:proofErr w:type="spellEnd"/>
      <w:r w:rsidRPr="008F13BD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</w:t>
      </w:r>
      <w:r w:rsidRPr="008F13BD">
        <w:rPr>
          <w:rFonts w:ascii="Times New Roman" w:eastAsia="Calibri" w:hAnsi="Times New Roman" w:cs="Times New Roman"/>
          <w:lang w:eastAsia="en-US"/>
        </w:rPr>
        <w:t>, содержать мотивированное обоснование.</w:t>
      </w:r>
    </w:p>
    <w:p w:rsidR="00991436" w:rsidRPr="008F13BD" w:rsidRDefault="00991436" w:rsidP="00991436">
      <w:pPr>
        <w:pStyle w:val="Standard"/>
        <w:jc w:val="both"/>
        <w:rPr>
          <w:rFonts w:ascii="Times New Roman" w:eastAsia="Andale Sans UI" w:hAnsi="Times New Roman" w:cs="Times New Roman"/>
          <w:lang w:eastAsia="ja-JP"/>
        </w:rPr>
      </w:pPr>
    </w:p>
    <w:p w:rsidR="00991436" w:rsidRPr="008F13BD" w:rsidRDefault="00991436" w:rsidP="0099143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13BD">
        <w:rPr>
          <w:rFonts w:ascii="Times New Roman" w:hAnsi="Times New Roman" w:cs="Times New Roman"/>
        </w:rPr>
        <w:t xml:space="preserve">4.  </w:t>
      </w:r>
      <w:proofErr w:type="spellStart"/>
      <w:r w:rsidRPr="008F13BD">
        <w:rPr>
          <w:rFonts w:ascii="Times New Roman" w:hAnsi="Times New Roman" w:cs="Times New Roman"/>
        </w:rPr>
        <w:t>Срок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приема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предложений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оканчивается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не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позднее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чем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за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пять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рабочих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дней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до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дня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проведения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публичных</w:t>
      </w:r>
      <w:proofErr w:type="spellEnd"/>
      <w:r w:rsidRPr="008F13BD">
        <w:rPr>
          <w:rFonts w:ascii="Times New Roman" w:hAnsi="Times New Roman" w:cs="Times New Roman"/>
        </w:rPr>
        <w:t xml:space="preserve"> </w:t>
      </w:r>
      <w:proofErr w:type="spellStart"/>
      <w:r w:rsidRPr="008F13BD">
        <w:rPr>
          <w:rFonts w:ascii="Times New Roman" w:hAnsi="Times New Roman" w:cs="Times New Roman"/>
        </w:rPr>
        <w:t>слушаний</w:t>
      </w:r>
      <w:proofErr w:type="spellEnd"/>
      <w:r w:rsidRPr="008F13BD">
        <w:rPr>
          <w:rFonts w:ascii="Times New Roman" w:hAnsi="Times New Roman" w:cs="Times New Roman"/>
        </w:rPr>
        <w:t>.</w:t>
      </w:r>
    </w:p>
    <w:p w:rsidR="00991436" w:rsidRPr="008F13BD" w:rsidRDefault="00991436" w:rsidP="00991436">
      <w:pPr>
        <w:pStyle w:val="Standard"/>
        <w:jc w:val="both"/>
        <w:rPr>
          <w:rFonts w:ascii="Times New Roman" w:hAnsi="Times New Roman" w:cs="Times New Roman"/>
        </w:rPr>
      </w:pPr>
    </w:p>
    <w:p w:rsidR="00991436" w:rsidRPr="00991436" w:rsidRDefault="00991436" w:rsidP="00991436">
      <w:pPr>
        <w:pStyle w:val="Standard"/>
        <w:jc w:val="both"/>
        <w:rPr>
          <w:rFonts w:ascii="Times New Roman" w:hAnsi="Times New Roman" w:cs="Times New Roman"/>
        </w:rPr>
      </w:pPr>
    </w:p>
    <w:p w:rsidR="00991436" w:rsidRPr="00991436" w:rsidRDefault="00991436" w:rsidP="00991436">
      <w:pPr>
        <w:pStyle w:val="Standard"/>
        <w:jc w:val="both"/>
        <w:rPr>
          <w:rFonts w:ascii="Times New Roman" w:hAnsi="Times New Roman" w:cs="Times New Roman"/>
          <w:bCs/>
        </w:rPr>
      </w:pPr>
    </w:p>
    <w:p w:rsidR="00991436" w:rsidRPr="00991436" w:rsidRDefault="00991436" w:rsidP="00991436">
      <w:pPr>
        <w:pStyle w:val="Standard"/>
        <w:jc w:val="both"/>
        <w:rPr>
          <w:rFonts w:ascii="Times New Roman" w:hAnsi="Times New Roman" w:cs="Times New Roman"/>
          <w:bCs/>
        </w:rPr>
      </w:pPr>
      <w:r w:rsidRPr="00991436">
        <w:rPr>
          <w:rFonts w:ascii="Times New Roman" w:hAnsi="Times New Roman" w:cs="Times New Roman"/>
          <w:bCs/>
        </w:rPr>
        <w:t>Председатель</w:t>
      </w:r>
    </w:p>
    <w:p w:rsidR="00991436" w:rsidRPr="00991436" w:rsidRDefault="00991436" w:rsidP="00991436">
      <w:pPr>
        <w:pStyle w:val="Standard"/>
        <w:jc w:val="both"/>
        <w:rPr>
          <w:rFonts w:ascii="Times New Roman" w:hAnsi="Times New Roman" w:cs="Times New Roman"/>
          <w:bCs/>
        </w:rPr>
      </w:pPr>
      <w:r w:rsidRPr="00991436">
        <w:rPr>
          <w:rFonts w:ascii="Times New Roman" w:hAnsi="Times New Roman" w:cs="Times New Roman"/>
          <w:bCs/>
        </w:rPr>
        <w:t xml:space="preserve">Совета депутатов </w:t>
      </w:r>
      <w:proofErr w:type="spellStart"/>
      <w:r w:rsidRPr="00991436">
        <w:rPr>
          <w:rFonts w:ascii="Times New Roman" w:hAnsi="Times New Roman" w:cs="Times New Roman"/>
          <w:bCs/>
        </w:rPr>
        <w:t>Кунашакского</w:t>
      </w:r>
      <w:proofErr w:type="spellEnd"/>
    </w:p>
    <w:p w:rsidR="00991436" w:rsidRPr="00991436" w:rsidRDefault="00991436" w:rsidP="00991436">
      <w:pPr>
        <w:pStyle w:val="Standard"/>
        <w:jc w:val="both"/>
        <w:rPr>
          <w:rFonts w:ascii="Times New Roman" w:hAnsi="Times New Roman" w:cs="Times New Roman"/>
          <w:lang w:val="de-DE"/>
        </w:rPr>
      </w:pPr>
      <w:r w:rsidRPr="00991436">
        <w:rPr>
          <w:rFonts w:ascii="Times New Roman" w:hAnsi="Times New Roman" w:cs="Times New Roman"/>
          <w:bCs/>
        </w:rPr>
        <w:t xml:space="preserve">сельского поселения </w:t>
      </w:r>
      <w:r w:rsidRPr="00991436">
        <w:rPr>
          <w:rFonts w:ascii="Times New Roman" w:hAnsi="Times New Roman" w:cs="Times New Roman"/>
          <w:bCs/>
        </w:rPr>
        <w:tab/>
      </w:r>
      <w:r w:rsidRPr="00991436">
        <w:rPr>
          <w:rFonts w:ascii="Times New Roman" w:hAnsi="Times New Roman" w:cs="Times New Roman"/>
          <w:bCs/>
        </w:rPr>
        <w:tab/>
        <w:t xml:space="preserve">                                                 Ю.А. Хусаинова</w:t>
      </w:r>
    </w:p>
    <w:p w:rsidR="00991436" w:rsidRDefault="00991436" w:rsidP="00991436">
      <w:pPr>
        <w:pStyle w:val="Standard"/>
        <w:jc w:val="both"/>
      </w:pPr>
    </w:p>
    <w:p w:rsidR="00991436" w:rsidRDefault="00991436" w:rsidP="00991436">
      <w:pPr>
        <w:pStyle w:val="Standard"/>
      </w:pPr>
    </w:p>
    <w:p w:rsidR="00FE086F" w:rsidRPr="00991436" w:rsidRDefault="00FE086F" w:rsidP="002606DE"/>
    <w:sectPr w:rsidR="00FE086F" w:rsidRPr="0099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A0DF8"/>
    <w:multiLevelType w:val="hybridMultilevel"/>
    <w:tmpl w:val="B98268D0"/>
    <w:lvl w:ilvl="0" w:tplc="8392D5C4">
      <w:start w:val="2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692F"/>
    <w:multiLevelType w:val="multilevel"/>
    <w:tmpl w:val="E600303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A80487D"/>
    <w:multiLevelType w:val="multilevel"/>
    <w:tmpl w:val="6C044FC4"/>
    <w:styleLink w:val="WWNum2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7"/>
    <w:rsid w:val="00124590"/>
    <w:rsid w:val="00124EF6"/>
    <w:rsid w:val="002606DE"/>
    <w:rsid w:val="002A01CB"/>
    <w:rsid w:val="006B7195"/>
    <w:rsid w:val="00762998"/>
    <w:rsid w:val="008F13BD"/>
    <w:rsid w:val="00940332"/>
    <w:rsid w:val="00991436"/>
    <w:rsid w:val="00A913A7"/>
    <w:rsid w:val="00B97D07"/>
    <w:rsid w:val="00C4518C"/>
    <w:rsid w:val="00D143A6"/>
    <w:rsid w:val="00DA389E"/>
    <w:rsid w:val="00E91551"/>
    <w:rsid w:val="00EA39B5"/>
    <w:rsid w:val="00FC5D62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590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124590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rsid w:val="00FE086F"/>
    <w:pPr>
      <w:numPr>
        <w:numId w:val="5"/>
      </w:numPr>
    </w:pPr>
  </w:style>
  <w:style w:type="numbering" w:customStyle="1" w:styleId="WWNum2">
    <w:name w:val="WWNum2"/>
    <w:rsid w:val="00FE086F"/>
    <w:pPr>
      <w:numPr>
        <w:numId w:val="7"/>
      </w:numPr>
    </w:pPr>
  </w:style>
  <w:style w:type="paragraph" w:customStyle="1" w:styleId="ConsPlusNonformat">
    <w:name w:val="ConsPlusNonformat"/>
    <w:rsid w:val="00991436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91436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590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124590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rsid w:val="00FE086F"/>
    <w:pPr>
      <w:numPr>
        <w:numId w:val="5"/>
      </w:numPr>
    </w:pPr>
  </w:style>
  <w:style w:type="numbering" w:customStyle="1" w:styleId="WWNum2">
    <w:name w:val="WWNum2"/>
    <w:rsid w:val="00FE086F"/>
    <w:pPr>
      <w:numPr>
        <w:numId w:val="7"/>
      </w:numPr>
    </w:pPr>
  </w:style>
  <w:style w:type="paragraph" w:customStyle="1" w:styleId="ConsPlusNonformat">
    <w:name w:val="ConsPlusNonformat"/>
    <w:rsid w:val="00991436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91436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2020-02-28T09:27:00Z</cp:lastPrinted>
  <dcterms:created xsi:type="dcterms:W3CDTF">2018-05-15T09:16:00Z</dcterms:created>
  <dcterms:modified xsi:type="dcterms:W3CDTF">2020-10-23T04:28:00Z</dcterms:modified>
</cp:coreProperties>
</file>